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FB232" w14:textId="0F05EC3E" w:rsidR="005F66F1" w:rsidRDefault="005F66F1" w:rsidP="005F66F1">
      <w:pPr>
        <w:jc w:val="center"/>
        <w:rPr>
          <w:rFonts w:ascii="Times New Roman" w:hAnsi="Times New Roman"/>
          <w:b/>
          <w:bCs/>
          <w:color w:val="000D34"/>
          <w:sz w:val="24"/>
          <w:szCs w:val="24"/>
        </w:rPr>
      </w:pPr>
      <w:r w:rsidRPr="005F66F1">
        <w:rPr>
          <w:rFonts w:ascii="Times New Roman" w:hAnsi="Times New Roman"/>
          <w:b/>
          <w:bCs/>
          <w:color w:val="000D34"/>
          <w:sz w:val="24"/>
          <w:szCs w:val="24"/>
        </w:rPr>
        <w:t>Force Majeure Provisions in Construction Contracts Amid COVID-19 Concerns</w:t>
      </w:r>
    </w:p>
    <w:p w14:paraId="7144BEB8" w14:textId="3FC4792B" w:rsidR="005F66F1" w:rsidRPr="005F66F1" w:rsidRDefault="005F66F1" w:rsidP="005F66F1">
      <w:pPr>
        <w:jc w:val="center"/>
        <w:rPr>
          <w:rFonts w:ascii="Times New Roman" w:hAnsi="Times New Roman"/>
          <w:color w:val="000D34"/>
          <w:sz w:val="24"/>
          <w:szCs w:val="24"/>
        </w:rPr>
      </w:pPr>
      <w:r>
        <w:rPr>
          <w:rFonts w:ascii="Times New Roman" w:hAnsi="Times New Roman"/>
          <w:color w:val="000D34"/>
          <w:sz w:val="24"/>
          <w:szCs w:val="24"/>
        </w:rPr>
        <w:t>By Kenneth Stallard, Esq. and Matthew D. Berkowitz, Esq.</w:t>
      </w:r>
    </w:p>
    <w:p w14:paraId="0C93F57E" w14:textId="77777777" w:rsidR="005F66F1" w:rsidRPr="005F66F1" w:rsidRDefault="005F66F1" w:rsidP="005F66F1">
      <w:pPr>
        <w:rPr>
          <w:rFonts w:ascii="Times New Roman" w:hAnsi="Times New Roman"/>
          <w:color w:val="000D34"/>
        </w:rPr>
      </w:pPr>
    </w:p>
    <w:p w14:paraId="233DA7A2" w14:textId="77777777" w:rsidR="005F66F1" w:rsidRPr="005F66F1" w:rsidRDefault="005F66F1" w:rsidP="005F66F1">
      <w:pPr>
        <w:rPr>
          <w:rFonts w:ascii="Times New Roman" w:hAnsi="Times New Roman"/>
          <w:color w:val="000D34"/>
        </w:rPr>
      </w:pPr>
      <w:r w:rsidRPr="005F66F1">
        <w:rPr>
          <w:rFonts w:ascii="Times New Roman" w:hAnsi="Times New Roman"/>
          <w:color w:val="000D34"/>
        </w:rPr>
        <w:t>Amid the COVID-19 crisis, officials in the District, Maryland, Virginia, and the federal government have designated construction as “essential.”  All three jurisdictions have also allowed private construction, including home building and commercial projects, to continue.  However, there is concern that some builders may not be able to obtain needed building materials because of global shipping slowdowns.  In turn, there is concern on how these slowdowns will impact the pace of construction crews and whether project deadlines will have to be extended as a result.  There is also the potential for price increases in construction materials as a result of shipping delays and scarcity of materials in the market.</w:t>
      </w:r>
    </w:p>
    <w:p w14:paraId="0F54C8EC" w14:textId="77777777" w:rsidR="005F66F1" w:rsidRPr="005F66F1" w:rsidRDefault="005F66F1" w:rsidP="005F66F1">
      <w:pPr>
        <w:rPr>
          <w:rFonts w:ascii="Times New Roman" w:hAnsi="Times New Roman"/>
          <w:color w:val="000D34"/>
        </w:rPr>
      </w:pPr>
      <w:r w:rsidRPr="005F66F1">
        <w:rPr>
          <w:rFonts w:ascii="Times New Roman" w:hAnsi="Times New Roman"/>
          <w:color w:val="000D34"/>
        </w:rPr>
        <w:t xml:space="preserve">But are there any provisions in standard construction contracts that can protect your construction business because of the delays caused by COVID-19?  Contractual provisions that excuse a party when performance is precluded by acts of God, war, government regulation, terrorism, disaster, strikes, civil disorder, curtailment of transportation facilities, or any other emergency beyond the parties' control, are generally referred to as force majeure provisions.  See National v. Hyatt Regency Washington, 894 A.2d 471 (D.C. 2006).  </w:t>
      </w:r>
      <w:r w:rsidRPr="005F66F1">
        <w:rPr>
          <w:rFonts w:ascii="Times New Roman" w:hAnsi="Times New Roman"/>
          <w:color w:val="000D34"/>
          <w:u w:val="single"/>
        </w:rPr>
        <w:t xml:space="preserve">Force majeure is a Latin phrase that means “superior force.” </w:t>
      </w:r>
      <w:r w:rsidRPr="005F66F1">
        <w:rPr>
          <w:rFonts w:ascii="Times New Roman" w:hAnsi="Times New Roman"/>
          <w:color w:val="000D34"/>
        </w:rPr>
        <w:t>Such force majeure or “superior force” events, which indeed could include COVID-19, could make continued performance under a contract inadvisable, illegal, and can materially affect a party's ability to perform its obligations under a contract.</w:t>
      </w:r>
    </w:p>
    <w:p w14:paraId="42ACBBC2" w14:textId="77777777" w:rsidR="005F66F1" w:rsidRPr="005F66F1" w:rsidRDefault="005F66F1" w:rsidP="005F66F1">
      <w:pPr>
        <w:rPr>
          <w:rFonts w:ascii="Times New Roman" w:hAnsi="Times New Roman"/>
          <w:color w:val="000D34"/>
        </w:rPr>
      </w:pPr>
      <w:r w:rsidRPr="005F66F1">
        <w:rPr>
          <w:rFonts w:ascii="Times New Roman" w:hAnsi="Times New Roman"/>
          <w:color w:val="000D34"/>
        </w:rPr>
        <w:t>Many construction contracts have the potential for addressing these COVID-19-related concerns through force majeure provisions.  The popular AIA A201-2017: General Conditions of the Contract for Construction form provides:</w:t>
      </w:r>
    </w:p>
    <w:p w14:paraId="77ABD9E4" w14:textId="77777777" w:rsidR="005F66F1" w:rsidRPr="005F66F1" w:rsidRDefault="005F66F1" w:rsidP="005F66F1">
      <w:pPr>
        <w:rPr>
          <w:rFonts w:ascii="Times New Roman" w:hAnsi="Times New Roman"/>
          <w:color w:val="000D34"/>
        </w:rPr>
      </w:pPr>
      <w:r w:rsidRPr="005F66F1">
        <w:rPr>
          <w:rFonts w:ascii="Times New Roman" w:hAnsi="Times New Roman"/>
          <w:color w:val="000D34"/>
        </w:rPr>
        <w:t>§8.3 Delays and Extensions of Time</w:t>
      </w:r>
    </w:p>
    <w:p w14:paraId="16D2E68F" w14:textId="77777777" w:rsidR="005F66F1" w:rsidRPr="005F66F1" w:rsidRDefault="005F66F1" w:rsidP="005F66F1">
      <w:pPr>
        <w:rPr>
          <w:rFonts w:ascii="Times New Roman" w:hAnsi="Times New Roman"/>
          <w:color w:val="000D34"/>
        </w:rPr>
      </w:pPr>
      <w:r w:rsidRPr="005F66F1">
        <w:rPr>
          <w:rFonts w:ascii="Times New Roman" w:hAnsi="Times New Roman"/>
          <w:color w:val="000D34"/>
        </w:rPr>
        <w:t>§8.3.1 If the Contractor is delayed at any time in the commencement or progress of the Work by</w:t>
      </w:r>
    </w:p>
    <w:p w14:paraId="33E3B0A0" w14:textId="77777777" w:rsidR="005F66F1" w:rsidRPr="005F66F1" w:rsidRDefault="005F66F1" w:rsidP="005F66F1">
      <w:pPr>
        <w:rPr>
          <w:rFonts w:ascii="Times New Roman" w:hAnsi="Times New Roman"/>
          <w:color w:val="000D34"/>
        </w:rPr>
      </w:pPr>
      <w:r w:rsidRPr="005F66F1">
        <w:rPr>
          <w:rFonts w:ascii="Times New Roman" w:hAnsi="Times New Roman"/>
          <w:color w:val="000D34"/>
        </w:rPr>
        <w:t>(1) an act or neglect of the Owner or Architect, of an employee of either, or of a Separate Contractor;</w:t>
      </w:r>
      <w:r w:rsidRPr="005F66F1">
        <w:rPr>
          <w:rFonts w:ascii="Times New Roman" w:hAnsi="Times New Roman"/>
          <w:color w:val="000D34"/>
        </w:rPr>
        <w:br/>
        <w:t>(2) by changes ordered in the Work;</w:t>
      </w:r>
      <w:r w:rsidRPr="005F66F1">
        <w:rPr>
          <w:rFonts w:ascii="Times New Roman" w:hAnsi="Times New Roman"/>
          <w:color w:val="000D34"/>
        </w:rPr>
        <w:br/>
        <w:t xml:space="preserve">(3) by labor disputes, fire, </w:t>
      </w:r>
      <w:r w:rsidRPr="005F66F1">
        <w:rPr>
          <w:rFonts w:ascii="Times New Roman" w:hAnsi="Times New Roman"/>
          <w:color w:val="000D34"/>
          <w:u w:val="single"/>
        </w:rPr>
        <w:t>unusual delay in delivery</w:t>
      </w:r>
      <w:r w:rsidRPr="005F66F1">
        <w:rPr>
          <w:rFonts w:ascii="Times New Roman" w:hAnsi="Times New Roman"/>
          <w:color w:val="000D34"/>
        </w:rPr>
        <w:t xml:space="preserve">, unavoidable casualties, adverse weather conditions documented in accordance with Section 15.1.6.2, </w:t>
      </w:r>
      <w:r w:rsidRPr="005F66F1">
        <w:rPr>
          <w:rFonts w:ascii="Times New Roman" w:hAnsi="Times New Roman"/>
          <w:color w:val="000D34"/>
          <w:u w:val="single"/>
        </w:rPr>
        <w:t>or other causes beyond the Contractor’s control</w:t>
      </w:r>
      <w:r w:rsidRPr="005F66F1">
        <w:rPr>
          <w:rFonts w:ascii="Times New Roman" w:hAnsi="Times New Roman"/>
          <w:color w:val="000D34"/>
        </w:rPr>
        <w:t>;</w:t>
      </w:r>
      <w:r w:rsidRPr="005F66F1">
        <w:rPr>
          <w:rFonts w:ascii="Times New Roman" w:hAnsi="Times New Roman"/>
          <w:color w:val="000D34"/>
        </w:rPr>
        <w:br/>
        <w:t>(4) by delay authorized by the Owner pending mediation and binding dispute resolution; or</w:t>
      </w:r>
      <w:r w:rsidRPr="005F66F1">
        <w:rPr>
          <w:rFonts w:ascii="Times New Roman" w:hAnsi="Times New Roman"/>
          <w:color w:val="000D34"/>
        </w:rPr>
        <w:br/>
        <w:t xml:space="preserve">(5) </w:t>
      </w:r>
      <w:r w:rsidRPr="005F66F1">
        <w:rPr>
          <w:rFonts w:ascii="Times New Roman" w:hAnsi="Times New Roman"/>
          <w:color w:val="000D34"/>
          <w:u w:val="single"/>
        </w:rPr>
        <w:t>by other causes that the Contractor asserts, and the Architect determines, justify delay, then the Contract Time shall be extended for such reasonable time as the Architect may determine</w:t>
      </w:r>
      <w:r w:rsidRPr="005F66F1">
        <w:rPr>
          <w:rFonts w:ascii="Times New Roman" w:hAnsi="Times New Roman"/>
          <w:color w:val="000D34"/>
        </w:rPr>
        <w:t>.</w:t>
      </w:r>
    </w:p>
    <w:p w14:paraId="40FBB833" w14:textId="77777777" w:rsidR="005F66F1" w:rsidRPr="005F66F1" w:rsidRDefault="005F66F1" w:rsidP="005F66F1">
      <w:pPr>
        <w:rPr>
          <w:rFonts w:ascii="Times New Roman" w:hAnsi="Times New Roman"/>
          <w:color w:val="000D34"/>
        </w:rPr>
      </w:pPr>
      <w:r w:rsidRPr="005F66F1">
        <w:rPr>
          <w:rFonts w:ascii="Times New Roman" w:hAnsi="Times New Roman"/>
          <w:color w:val="000D34"/>
        </w:rPr>
        <w:t>(Emphasis added).</w:t>
      </w:r>
    </w:p>
    <w:p w14:paraId="13D660B6" w14:textId="77777777" w:rsidR="005F66F1" w:rsidRPr="005F66F1" w:rsidRDefault="005F66F1" w:rsidP="005F66F1">
      <w:pPr>
        <w:rPr>
          <w:rFonts w:ascii="Times New Roman" w:hAnsi="Times New Roman"/>
          <w:color w:val="000D34"/>
        </w:rPr>
      </w:pPr>
      <w:r w:rsidRPr="005F66F1">
        <w:rPr>
          <w:rFonts w:ascii="Times New Roman" w:hAnsi="Times New Roman"/>
          <w:color w:val="000D34"/>
        </w:rPr>
        <w:t>Similarly, in its Standard Agreement and General Conditions Between Owner and Constructor,</w:t>
      </w:r>
    </w:p>
    <w:p w14:paraId="2248D3FA" w14:textId="77777777" w:rsidR="005F66F1" w:rsidRPr="005F66F1" w:rsidRDefault="005F66F1" w:rsidP="005F66F1">
      <w:pPr>
        <w:rPr>
          <w:rFonts w:ascii="Times New Roman" w:hAnsi="Times New Roman"/>
          <w:color w:val="000D34"/>
        </w:rPr>
      </w:pPr>
      <w:proofErr w:type="spellStart"/>
      <w:r w:rsidRPr="005F66F1">
        <w:rPr>
          <w:rFonts w:ascii="Times New Roman" w:hAnsi="Times New Roman"/>
          <w:color w:val="000D34"/>
        </w:rPr>
        <w:lastRenderedPageBreak/>
        <w:t>ConsensusDocs</w:t>
      </w:r>
      <w:proofErr w:type="spellEnd"/>
      <w:r w:rsidRPr="005F66F1">
        <w:rPr>
          <w:rFonts w:ascii="Times New Roman" w:hAnsi="Times New Roman"/>
          <w:color w:val="000D34"/>
        </w:rPr>
        <w:t xml:space="preserve"> 200 provides:</w:t>
      </w:r>
    </w:p>
    <w:p w14:paraId="5EF8D797" w14:textId="77777777" w:rsidR="005F66F1" w:rsidRPr="005F66F1" w:rsidRDefault="005F66F1" w:rsidP="005F66F1">
      <w:pPr>
        <w:rPr>
          <w:rFonts w:ascii="Times New Roman" w:hAnsi="Times New Roman"/>
          <w:color w:val="000D34"/>
        </w:rPr>
      </w:pPr>
      <w:r w:rsidRPr="005F66F1">
        <w:rPr>
          <w:rFonts w:ascii="Times New Roman" w:hAnsi="Times New Roman"/>
          <w:color w:val="000D34"/>
        </w:rPr>
        <w:t>6.3 Delays and Extensions of Time</w:t>
      </w:r>
    </w:p>
    <w:p w14:paraId="0B73976C" w14:textId="77777777" w:rsidR="005F66F1" w:rsidRPr="005F66F1" w:rsidRDefault="005F66F1" w:rsidP="005F66F1">
      <w:pPr>
        <w:rPr>
          <w:rFonts w:ascii="Times New Roman" w:hAnsi="Times New Roman"/>
          <w:color w:val="000D34"/>
        </w:rPr>
      </w:pPr>
      <w:r w:rsidRPr="005F66F1">
        <w:rPr>
          <w:rFonts w:ascii="Times New Roman" w:hAnsi="Times New Roman"/>
          <w:color w:val="000D34"/>
        </w:rPr>
        <w:t xml:space="preserve">6.3.1 If Constructor is delayed at any time in the commencement of progress of the Work </w:t>
      </w:r>
      <w:r w:rsidRPr="005F66F1">
        <w:rPr>
          <w:rFonts w:ascii="Times New Roman" w:hAnsi="Times New Roman"/>
          <w:color w:val="000D34"/>
          <w:u w:val="single"/>
        </w:rPr>
        <w:t>by any cause beyond the control of the Constructor</w:t>
      </w:r>
      <w:r w:rsidRPr="005F66F1">
        <w:rPr>
          <w:rFonts w:ascii="Times New Roman" w:hAnsi="Times New Roman"/>
          <w:color w:val="000D34"/>
        </w:rPr>
        <w:t xml:space="preserve">, Constructor shall be entitled to an equitable extension of the Contract Time. </w:t>
      </w:r>
      <w:r w:rsidRPr="005F66F1">
        <w:rPr>
          <w:rFonts w:ascii="Times New Roman" w:hAnsi="Times New Roman"/>
          <w:color w:val="000D34"/>
          <w:u w:val="single"/>
        </w:rPr>
        <w:t>Examples of causes</w:t>
      </w:r>
      <w:r w:rsidRPr="005F66F1">
        <w:rPr>
          <w:rFonts w:ascii="Times New Roman" w:hAnsi="Times New Roman"/>
          <w:color w:val="000D34"/>
        </w:rPr>
        <w:t xml:space="preserve"> beyond control of the Constructor include, but are not limited to, the following</w:t>
      </w:r>
    </w:p>
    <w:p w14:paraId="6C84BC5C" w14:textId="77777777" w:rsidR="005F66F1" w:rsidRPr="005F66F1" w:rsidRDefault="005F66F1" w:rsidP="005F66F1">
      <w:pPr>
        <w:rPr>
          <w:rFonts w:ascii="Times New Roman" w:hAnsi="Times New Roman"/>
          <w:color w:val="000D34"/>
        </w:rPr>
      </w:pPr>
      <w:r w:rsidRPr="005F66F1">
        <w:rPr>
          <w:rFonts w:ascii="Times New Roman" w:hAnsi="Times New Roman"/>
          <w:color w:val="000D34"/>
        </w:rPr>
        <w:t>(a) acts or omissions of Owner, Design Professional, or Others;</w:t>
      </w:r>
      <w:r w:rsidRPr="005F66F1">
        <w:rPr>
          <w:rFonts w:ascii="Times New Roman" w:hAnsi="Times New Roman"/>
          <w:color w:val="000D34"/>
        </w:rPr>
        <w:br/>
        <w:t>(b) changes in the Work or sequencing of the Work ordered by Owner, or arising from decisions of Owner that impact the time of performance of the Work;</w:t>
      </w:r>
      <w:r w:rsidRPr="005F66F1">
        <w:rPr>
          <w:rFonts w:ascii="Times New Roman" w:hAnsi="Times New Roman"/>
          <w:color w:val="000D34"/>
        </w:rPr>
        <w:br/>
        <w:t>(c) encountering Hazardous Materials, or concealed or unknown conditions;</w:t>
      </w:r>
      <w:r w:rsidRPr="005F66F1">
        <w:rPr>
          <w:rFonts w:ascii="Times New Roman" w:hAnsi="Times New Roman"/>
          <w:color w:val="000D34"/>
        </w:rPr>
        <w:br/>
        <w:t>(d) delay authorized by Owner pending dispute resolution or suspension by Owner under §11.1;</w:t>
      </w:r>
      <w:r w:rsidRPr="005F66F1">
        <w:rPr>
          <w:rFonts w:ascii="Times New Roman" w:hAnsi="Times New Roman"/>
          <w:color w:val="000D34"/>
        </w:rPr>
        <w:br/>
        <w:t xml:space="preserve">(e) </w:t>
      </w:r>
      <w:r w:rsidRPr="005F66F1">
        <w:rPr>
          <w:rFonts w:ascii="Times New Roman" w:hAnsi="Times New Roman"/>
          <w:color w:val="000D34"/>
          <w:u w:val="single"/>
        </w:rPr>
        <w:t>transportation delays not reasonably foreseeable</w:t>
      </w:r>
      <w:r w:rsidRPr="005F66F1">
        <w:rPr>
          <w:rFonts w:ascii="Times New Roman" w:hAnsi="Times New Roman"/>
          <w:color w:val="000D34"/>
        </w:rPr>
        <w:t>;</w:t>
      </w:r>
      <w:r w:rsidRPr="005F66F1">
        <w:rPr>
          <w:rFonts w:ascii="Times New Roman" w:hAnsi="Times New Roman"/>
          <w:color w:val="000D34"/>
        </w:rPr>
        <w:br/>
        <w:t>(f) labor disputes not involving the Constructor;</w:t>
      </w:r>
      <w:r w:rsidRPr="005F66F1">
        <w:rPr>
          <w:rFonts w:ascii="Times New Roman" w:hAnsi="Times New Roman"/>
          <w:color w:val="000D34"/>
        </w:rPr>
        <w:br/>
        <w:t>(g) general labor disputes impacting the Project but not specifically related to the Worksite;</w:t>
      </w:r>
      <w:r w:rsidRPr="005F66F1">
        <w:rPr>
          <w:rFonts w:ascii="Times New Roman" w:hAnsi="Times New Roman"/>
          <w:color w:val="000D34"/>
        </w:rPr>
        <w:br/>
        <w:t>(h) fire;</w:t>
      </w:r>
      <w:r w:rsidRPr="005F66F1">
        <w:rPr>
          <w:rFonts w:ascii="Times New Roman" w:hAnsi="Times New Roman"/>
          <w:color w:val="000D34"/>
        </w:rPr>
        <w:br/>
        <w:t>(</w:t>
      </w:r>
      <w:proofErr w:type="spellStart"/>
      <w:r w:rsidRPr="005F66F1">
        <w:rPr>
          <w:rFonts w:ascii="Times New Roman" w:hAnsi="Times New Roman"/>
          <w:color w:val="000D34"/>
        </w:rPr>
        <w:t>i</w:t>
      </w:r>
      <w:proofErr w:type="spellEnd"/>
      <w:r w:rsidRPr="005F66F1">
        <w:rPr>
          <w:rFonts w:ascii="Times New Roman" w:hAnsi="Times New Roman"/>
          <w:color w:val="000D34"/>
        </w:rPr>
        <w:t>) Terrorism;</w:t>
      </w:r>
      <w:r w:rsidRPr="005F66F1">
        <w:rPr>
          <w:rFonts w:ascii="Times New Roman" w:hAnsi="Times New Roman"/>
          <w:color w:val="000D34"/>
        </w:rPr>
        <w:br/>
        <w:t xml:space="preserve">(j) </w:t>
      </w:r>
      <w:r w:rsidRPr="005F66F1">
        <w:rPr>
          <w:rFonts w:ascii="Times New Roman" w:hAnsi="Times New Roman"/>
          <w:color w:val="000D34"/>
          <w:u w:val="single"/>
        </w:rPr>
        <w:t>epidemics</w:t>
      </w:r>
      <w:r w:rsidRPr="005F66F1">
        <w:rPr>
          <w:rFonts w:ascii="Times New Roman" w:hAnsi="Times New Roman"/>
          <w:color w:val="000D34"/>
        </w:rPr>
        <w:t>;</w:t>
      </w:r>
      <w:r w:rsidRPr="005F66F1">
        <w:rPr>
          <w:rFonts w:ascii="Times New Roman" w:hAnsi="Times New Roman"/>
          <w:color w:val="000D34"/>
        </w:rPr>
        <w:br/>
        <w:t xml:space="preserve">(k) </w:t>
      </w:r>
      <w:r w:rsidRPr="005F66F1">
        <w:rPr>
          <w:rFonts w:ascii="Times New Roman" w:hAnsi="Times New Roman"/>
          <w:color w:val="000D34"/>
          <w:u w:val="single"/>
        </w:rPr>
        <w:t>adverse governmental actions</w:t>
      </w:r>
      <w:r w:rsidRPr="005F66F1">
        <w:rPr>
          <w:rFonts w:ascii="Times New Roman" w:hAnsi="Times New Roman"/>
          <w:color w:val="000D34"/>
        </w:rPr>
        <w:t>;</w:t>
      </w:r>
      <w:r w:rsidRPr="005F66F1">
        <w:rPr>
          <w:rFonts w:ascii="Times New Roman" w:hAnsi="Times New Roman"/>
          <w:color w:val="000D34"/>
        </w:rPr>
        <w:br/>
        <w:t xml:space="preserve">(l) </w:t>
      </w:r>
      <w:r w:rsidRPr="005F66F1">
        <w:rPr>
          <w:rFonts w:ascii="Times New Roman" w:hAnsi="Times New Roman"/>
          <w:color w:val="000D34"/>
          <w:u w:val="single"/>
        </w:rPr>
        <w:t>unavoidable accidents or circumstances</w:t>
      </w:r>
      <w:r w:rsidRPr="005F66F1">
        <w:rPr>
          <w:rFonts w:ascii="Times New Roman" w:hAnsi="Times New Roman"/>
          <w:color w:val="000D34"/>
        </w:rPr>
        <w:t>;</w:t>
      </w:r>
      <w:r w:rsidRPr="005F66F1">
        <w:rPr>
          <w:rFonts w:ascii="Times New Roman" w:hAnsi="Times New Roman"/>
          <w:color w:val="000D34"/>
        </w:rPr>
        <w:br/>
        <w:t>(m) adverse weather conditions not reasonably anticipated.</w:t>
      </w:r>
    </w:p>
    <w:p w14:paraId="3B3B031E" w14:textId="77777777" w:rsidR="005F66F1" w:rsidRPr="005F66F1" w:rsidRDefault="005F66F1" w:rsidP="005F66F1">
      <w:pPr>
        <w:rPr>
          <w:rFonts w:ascii="Times New Roman" w:hAnsi="Times New Roman"/>
          <w:color w:val="000D34"/>
        </w:rPr>
      </w:pPr>
      <w:r w:rsidRPr="005F66F1">
        <w:rPr>
          <w:rFonts w:ascii="Times New Roman" w:hAnsi="Times New Roman"/>
          <w:color w:val="000D34"/>
        </w:rPr>
        <w:t>(Emphasis added).</w:t>
      </w:r>
    </w:p>
    <w:p w14:paraId="61F36CBD" w14:textId="77777777" w:rsidR="005F66F1" w:rsidRPr="005F66F1" w:rsidRDefault="005F66F1" w:rsidP="005F66F1">
      <w:pPr>
        <w:rPr>
          <w:rFonts w:ascii="Times New Roman" w:hAnsi="Times New Roman"/>
          <w:color w:val="000D34"/>
        </w:rPr>
      </w:pPr>
      <w:r w:rsidRPr="005F66F1">
        <w:rPr>
          <w:rFonts w:ascii="Times New Roman" w:hAnsi="Times New Roman"/>
          <w:color w:val="000D34"/>
        </w:rPr>
        <w:t xml:space="preserve">Similar provisions are found in many other construction contracts.  These provisions may entitle the contractor to equitable adjustments to the contract price or extensions to the project delivery date.  Moreover, contractors should make all reasonable efforts to mitigate the effects of such delays.  As always, such claims should be well documented and reported as soon as feasible.  Failure, to document and provide notice of these events could result in delay disputes between the contractor and the project owner. </w:t>
      </w:r>
    </w:p>
    <w:p w14:paraId="529F7C81" w14:textId="77777777" w:rsidR="005F66F1" w:rsidRPr="005F66F1" w:rsidRDefault="005F66F1" w:rsidP="005F66F1">
      <w:pPr>
        <w:rPr>
          <w:rFonts w:ascii="Times New Roman" w:hAnsi="Times New Roman"/>
          <w:color w:val="000D34"/>
        </w:rPr>
      </w:pPr>
      <w:r w:rsidRPr="005F66F1">
        <w:rPr>
          <w:rFonts w:ascii="Times New Roman" w:hAnsi="Times New Roman"/>
          <w:color w:val="000D34"/>
        </w:rPr>
        <w:t xml:space="preserve">Whether a particular COVID-19-related delay constitutes a force majeure event to excuse timely performance will depend on the particular circumstances, but it seems likely that Initial Decision Makers, Arbitrators, and the courts would find that materials shortages and other delays directly related to the COVID-19 crises are covered within typical force majeure  provisions.  Accordingly, if a contractor or subcontractor suspects they may have difficulty meeting contractual requirements because of the pandemic, the contractor or subcontractor should carefully review their contracts and consult with experienced counsel to determine whether their contract contains such an enforceable force majeure clause to seek additional contract time and protect them from potential liability.  </w:t>
      </w:r>
    </w:p>
    <w:p w14:paraId="6518D8AF" w14:textId="610D7E66" w:rsidR="00753458" w:rsidRPr="005F66F1" w:rsidRDefault="00753458" w:rsidP="00D173BF">
      <w:pPr>
        <w:rPr>
          <w:rFonts w:ascii="Times New Roman" w:hAnsi="Times New Roman"/>
          <w:color w:val="000D34"/>
        </w:rPr>
      </w:pPr>
    </w:p>
    <w:sectPr w:rsidR="00753458" w:rsidRPr="005F66F1" w:rsidSect="00C95F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D107D" w14:textId="77777777" w:rsidR="004E4390" w:rsidRDefault="004E4390" w:rsidP="00C95F97">
      <w:pPr>
        <w:spacing w:after="0" w:line="240" w:lineRule="auto"/>
      </w:pPr>
      <w:r>
        <w:separator/>
      </w:r>
    </w:p>
  </w:endnote>
  <w:endnote w:type="continuationSeparator" w:id="0">
    <w:p w14:paraId="7AE654F3" w14:textId="77777777" w:rsidR="004E4390" w:rsidRDefault="004E4390" w:rsidP="00C95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A8AE1" w14:textId="77777777" w:rsidR="006E0BB0" w:rsidRDefault="006E0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9D49C" w14:textId="77777777" w:rsidR="006E0BB0" w:rsidRDefault="006E0B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1E7A0" w14:textId="77777777" w:rsidR="006E0BB0" w:rsidRDefault="006E0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FD9DC" w14:textId="77777777" w:rsidR="004E4390" w:rsidRDefault="004E4390" w:rsidP="00C95F97">
      <w:pPr>
        <w:spacing w:after="0" w:line="240" w:lineRule="auto"/>
      </w:pPr>
      <w:r>
        <w:separator/>
      </w:r>
    </w:p>
  </w:footnote>
  <w:footnote w:type="continuationSeparator" w:id="0">
    <w:p w14:paraId="227D1A45" w14:textId="77777777" w:rsidR="004E4390" w:rsidRDefault="004E4390" w:rsidP="00C95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2B3C4" w14:textId="77777777" w:rsidR="006E0BB0" w:rsidRDefault="006E0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6794E" w14:textId="77777777" w:rsidR="006E0BB0" w:rsidRDefault="007F18A0">
    <w:pPr>
      <w:pStyle w:val="Header"/>
    </w:pPr>
    <w:r>
      <w:rPr>
        <w:noProof/>
      </w:rPr>
      <w:drawing>
        <wp:anchor distT="0" distB="0" distL="114300" distR="114300" simplePos="0" relativeHeight="251659776" behindDoc="1" locked="1" layoutInCell="1" allowOverlap="0" wp14:anchorId="664ADED4" wp14:editId="61536B24">
          <wp:simplePos x="0" y="0"/>
          <wp:positionH relativeFrom="page">
            <wp:align>left</wp:align>
          </wp:positionH>
          <wp:positionV relativeFrom="page">
            <wp:align>top</wp:align>
          </wp:positionV>
          <wp:extent cx="7799705" cy="913765"/>
          <wp:effectExtent l="0" t="0" r="0" b="0"/>
          <wp:wrapThrough wrapText="bothSides">
            <wp:wrapPolygon edited="0">
              <wp:start x="0" y="0"/>
              <wp:lineTo x="0" y="21165"/>
              <wp:lineTo x="21524" y="21165"/>
              <wp:lineTo x="21524" y="0"/>
              <wp:lineTo x="0" y="0"/>
            </wp:wrapPolygon>
          </wp:wrapThrough>
          <wp:docPr id="3" name="Picture 2" descr="CarrMaloney-LH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rMaloney-LH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705" cy="913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564FA" w14:textId="77777777" w:rsidR="00F26521" w:rsidRDefault="007F18A0">
    <w:pPr>
      <w:pStyle w:val="Header"/>
    </w:pPr>
    <w:r>
      <w:rPr>
        <w:noProof/>
      </w:rPr>
      <w:drawing>
        <wp:anchor distT="0" distB="0" distL="114300" distR="114300" simplePos="0" relativeHeight="251657728" behindDoc="1" locked="1" layoutInCell="1" allowOverlap="0" wp14:anchorId="58423525" wp14:editId="7EFDA9F3">
          <wp:simplePos x="0" y="0"/>
          <wp:positionH relativeFrom="page">
            <wp:align>left</wp:align>
          </wp:positionH>
          <wp:positionV relativeFrom="page">
            <wp:align>top</wp:align>
          </wp:positionV>
          <wp:extent cx="7739380" cy="1143000"/>
          <wp:effectExtent l="0" t="0" r="0" b="0"/>
          <wp:wrapThrough wrapText="bothSides">
            <wp:wrapPolygon edited="0">
              <wp:start x="0" y="0"/>
              <wp:lineTo x="0" y="21240"/>
              <wp:lineTo x="21533" y="21240"/>
              <wp:lineTo x="21533" y="0"/>
              <wp:lineTo x="0" y="0"/>
            </wp:wrapPolygon>
          </wp:wrapThrough>
          <wp:docPr id="1" name="Picture 1" descr="CM-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L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9380" cy="1143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01E0E"/>
    <w:multiLevelType w:val="hybridMultilevel"/>
    <w:tmpl w:val="C3CE33FC"/>
    <w:lvl w:ilvl="0" w:tplc="F26A7556">
      <w:numFmt w:val="bullet"/>
      <w:lvlText w:val="-"/>
      <w:lvlJc w:val="left"/>
      <w:pPr>
        <w:ind w:left="1080" w:hanging="360"/>
      </w:pPr>
      <w:rPr>
        <w:rFonts w:ascii="Arial" w:eastAsia="Times New Roman" w:hAnsi="Arial"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521"/>
    <w:rsid w:val="000064DB"/>
    <w:rsid w:val="0015725E"/>
    <w:rsid w:val="00396B02"/>
    <w:rsid w:val="004634D2"/>
    <w:rsid w:val="0049153D"/>
    <w:rsid w:val="004E4390"/>
    <w:rsid w:val="005F66F1"/>
    <w:rsid w:val="005F7CFB"/>
    <w:rsid w:val="00634F49"/>
    <w:rsid w:val="006E0BB0"/>
    <w:rsid w:val="00703249"/>
    <w:rsid w:val="0070559A"/>
    <w:rsid w:val="00753458"/>
    <w:rsid w:val="00784B51"/>
    <w:rsid w:val="007F18A0"/>
    <w:rsid w:val="008356C3"/>
    <w:rsid w:val="00881373"/>
    <w:rsid w:val="008D1930"/>
    <w:rsid w:val="008F745F"/>
    <w:rsid w:val="00951ABD"/>
    <w:rsid w:val="00974747"/>
    <w:rsid w:val="00AF2C4C"/>
    <w:rsid w:val="00C95F97"/>
    <w:rsid w:val="00D173BF"/>
    <w:rsid w:val="00D80765"/>
    <w:rsid w:val="00E9454F"/>
    <w:rsid w:val="00F26521"/>
    <w:rsid w:val="00F31A26"/>
    <w:rsid w:val="00F34E94"/>
    <w:rsid w:val="00F35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F1881F"/>
  <w15:chartTrackingRefBased/>
  <w15:docId w15:val="{9197E946-0EAE-479F-BAED-5B103630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F97"/>
    <w:pPr>
      <w:tabs>
        <w:tab w:val="center" w:pos="4680"/>
        <w:tab w:val="right" w:pos="9360"/>
      </w:tabs>
    </w:pPr>
  </w:style>
  <w:style w:type="character" w:customStyle="1" w:styleId="HeaderChar">
    <w:name w:val="Header Char"/>
    <w:link w:val="Header"/>
    <w:uiPriority w:val="99"/>
    <w:rsid w:val="00C95F97"/>
    <w:rPr>
      <w:sz w:val="22"/>
      <w:szCs w:val="22"/>
    </w:rPr>
  </w:style>
  <w:style w:type="paragraph" w:styleId="Footer">
    <w:name w:val="footer"/>
    <w:basedOn w:val="Normal"/>
    <w:link w:val="FooterChar"/>
    <w:uiPriority w:val="99"/>
    <w:unhideWhenUsed/>
    <w:rsid w:val="00C95F97"/>
    <w:pPr>
      <w:tabs>
        <w:tab w:val="center" w:pos="4680"/>
        <w:tab w:val="right" w:pos="9360"/>
      </w:tabs>
    </w:pPr>
  </w:style>
  <w:style w:type="character" w:customStyle="1" w:styleId="FooterChar">
    <w:name w:val="Footer Char"/>
    <w:link w:val="Footer"/>
    <w:uiPriority w:val="99"/>
    <w:rsid w:val="00C95F97"/>
    <w:rPr>
      <w:sz w:val="22"/>
      <w:szCs w:val="22"/>
    </w:rPr>
  </w:style>
  <w:style w:type="paragraph" w:styleId="NormalWeb">
    <w:name w:val="Normal (Web)"/>
    <w:basedOn w:val="Normal"/>
    <w:uiPriority w:val="99"/>
    <w:unhideWhenUsed/>
    <w:rsid w:val="0015725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15725E"/>
    <w:rPr>
      <w:color w:val="0000FF"/>
      <w:u w:val="single"/>
    </w:rPr>
  </w:style>
  <w:style w:type="paragraph" w:styleId="FootnoteText">
    <w:name w:val="footnote text"/>
    <w:basedOn w:val="Normal"/>
    <w:link w:val="FootnoteTextChar"/>
    <w:uiPriority w:val="99"/>
    <w:semiHidden/>
    <w:unhideWhenUsed/>
    <w:rsid w:val="0015725E"/>
    <w:pPr>
      <w:spacing w:after="0" w:line="240" w:lineRule="auto"/>
    </w:pPr>
    <w:rPr>
      <w:rFonts w:eastAsiaTheme="minorHAnsi" w:cs="Calibri"/>
      <w:sz w:val="20"/>
      <w:szCs w:val="20"/>
    </w:rPr>
  </w:style>
  <w:style w:type="character" w:customStyle="1" w:styleId="FootnoteTextChar">
    <w:name w:val="Footnote Text Char"/>
    <w:basedOn w:val="DefaultParagraphFont"/>
    <w:link w:val="FootnoteText"/>
    <w:uiPriority w:val="99"/>
    <w:semiHidden/>
    <w:rsid w:val="0015725E"/>
    <w:rPr>
      <w:rFonts w:eastAsiaTheme="minorHAnsi" w:cs="Calibri"/>
    </w:rPr>
  </w:style>
  <w:style w:type="character" w:styleId="FootnoteReference">
    <w:name w:val="footnote reference"/>
    <w:basedOn w:val="DefaultParagraphFont"/>
    <w:uiPriority w:val="99"/>
    <w:semiHidden/>
    <w:unhideWhenUsed/>
    <w:rsid w:val="0015725E"/>
    <w:rPr>
      <w:vertAlign w:val="superscript"/>
    </w:rPr>
  </w:style>
  <w:style w:type="paragraph" w:styleId="ListParagraph">
    <w:name w:val="List Paragraph"/>
    <w:basedOn w:val="Normal"/>
    <w:uiPriority w:val="34"/>
    <w:qFormat/>
    <w:rsid w:val="00881373"/>
    <w:pPr>
      <w:spacing w:after="160" w:line="259"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rsid w:val="0070559A"/>
    <w:rPr>
      <w:b/>
      <w:bCs/>
    </w:rPr>
  </w:style>
  <w:style w:type="paragraph" w:styleId="BalloonText">
    <w:name w:val="Balloon Text"/>
    <w:basedOn w:val="Normal"/>
    <w:link w:val="BalloonTextChar"/>
    <w:uiPriority w:val="99"/>
    <w:semiHidden/>
    <w:unhideWhenUsed/>
    <w:rsid w:val="00D80765"/>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80765"/>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3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4460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asl</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dc:creator>
  <cp:keywords/>
  <cp:lastModifiedBy>Martha Patterson</cp:lastModifiedBy>
  <cp:revision>2</cp:revision>
  <cp:lastPrinted>2020-04-01T17:24:00Z</cp:lastPrinted>
  <dcterms:created xsi:type="dcterms:W3CDTF">2020-04-21T14:36:00Z</dcterms:created>
  <dcterms:modified xsi:type="dcterms:W3CDTF">2020-04-21T14:36:00Z</dcterms:modified>
</cp:coreProperties>
</file>